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DA6" w:rsidRPr="00912CE0" w:rsidRDefault="005C0DA6" w:rsidP="005C0DA6">
      <w:pPr>
        <w:jc w:val="both"/>
        <w:rPr>
          <w:sz w:val="24"/>
          <w:szCs w:val="24"/>
          <w:lang w:val="en-US"/>
        </w:rPr>
      </w:pPr>
      <w:r w:rsidRPr="00912CE0">
        <w:rPr>
          <w:b/>
          <w:bCs/>
          <w:sz w:val="24"/>
          <w:szCs w:val="24"/>
          <w:lang w:val="en-US"/>
        </w:rPr>
        <w:t>Table 1.</w:t>
      </w:r>
      <w:r w:rsidRPr="00912CE0">
        <w:rPr>
          <w:sz w:val="24"/>
          <w:szCs w:val="24"/>
          <w:lang w:val="en-US"/>
        </w:rPr>
        <w:t xml:space="preserve"> Results of Reliability Analysis of Scales</w:t>
      </w:r>
    </w:p>
    <w:p w:rsidR="005C0DA6" w:rsidRPr="005C0DA6" w:rsidRDefault="005C0DA6" w:rsidP="005C0DA6">
      <w:pPr>
        <w:jc w:val="both"/>
        <w:rPr>
          <w:lang w:val="en-US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114"/>
        <w:gridCol w:w="2126"/>
        <w:gridCol w:w="3822"/>
      </w:tblGrid>
      <w:tr w:rsidR="005C0DA6" w:rsidRPr="00912CE0" w:rsidTr="00FB33A4">
        <w:tc>
          <w:tcPr>
            <w:tcW w:w="1718" w:type="pct"/>
          </w:tcPr>
          <w:p w:rsidR="005C0DA6" w:rsidRPr="00912CE0" w:rsidRDefault="005C0DA6" w:rsidP="00FB33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73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Number of Items</w:t>
            </w:r>
          </w:p>
        </w:tc>
        <w:tc>
          <w:tcPr>
            <w:tcW w:w="2109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Cronbach’s Alpha Coefficients</w:t>
            </w:r>
          </w:p>
        </w:tc>
      </w:tr>
      <w:tr w:rsidR="005C0DA6" w:rsidRPr="00912CE0" w:rsidTr="00FB33A4">
        <w:tc>
          <w:tcPr>
            <w:tcW w:w="1718" w:type="pct"/>
          </w:tcPr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 xml:space="preserve">Quality of Life </w:t>
            </w:r>
          </w:p>
        </w:tc>
        <w:tc>
          <w:tcPr>
            <w:tcW w:w="1173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109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0.77</w:t>
            </w:r>
          </w:p>
        </w:tc>
      </w:tr>
      <w:tr w:rsidR="005C0DA6" w:rsidRPr="00912CE0" w:rsidTr="00FB33A4">
        <w:tc>
          <w:tcPr>
            <w:tcW w:w="1718" w:type="pct"/>
          </w:tcPr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Social Appearance Anxiety</w:t>
            </w:r>
          </w:p>
        </w:tc>
        <w:tc>
          <w:tcPr>
            <w:tcW w:w="1173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109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0.87</w:t>
            </w:r>
          </w:p>
        </w:tc>
      </w:tr>
    </w:tbl>
    <w:p w:rsidR="005C0DA6" w:rsidRPr="005C0DA6" w:rsidRDefault="005C0DA6" w:rsidP="005C0DA6">
      <w:pPr>
        <w:jc w:val="both"/>
        <w:rPr>
          <w:b/>
          <w:bCs/>
          <w:lang w:val="en-US"/>
        </w:rPr>
      </w:pPr>
    </w:p>
    <w:p w:rsidR="005C0DA6" w:rsidRPr="00912CE0" w:rsidRDefault="005C0DA6" w:rsidP="005C0DA6">
      <w:pPr>
        <w:jc w:val="both"/>
        <w:rPr>
          <w:sz w:val="24"/>
          <w:szCs w:val="24"/>
          <w:lang w:val="en-US"/>
        </w:rPr>
      </w:pPr>
      <w:r w:rsidRPr="00912CE0">
        <w:rPr>
          <w:b/>
          <w:bCs/>
          <w:sz w:val="24"/>
          <w:szCs w:val="24"/>
          <w:lang w:val="en-US"/>
        </w:rPr>
        <w:t xml:space="preserve">Table 2. </w:t>
      </w:r>
      <w:r w:rsidRPr="00912CE0">
        <w:rPr>
          <w:sz w:val="24"/>
          <w:szCs w:val="24"/>
          <w:lang w:val="en-US"/>
        </w:rPr>
        <w:t>The Relationship Between Quality of Life and Social Appearance Anxiety</w:t>
      </w:r>
    </w:p>
    <w:p w:rsidR="005C0DA6" w:rsidRPr="005C0DA6" w:rsidRDefault="005C0DA6" w:rsidP="005C0DA6">
      <w:pPr>
        <w:jc w:val="both"/>
        <w:rPr>
          <w:b/>
          <w:bCs/>
          <w:lang w:val="en-US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972"/>
        <w:gridCol w:w="852"/>
        <w:gridCol w:w="2267"/>
        <w:gridCol w:w="2971"/>
      </w:tblGrid>
      <w:tr w:rsidR="005C0DA6" w:rsidRPr="00912CE0" w:rsidTr="00FB33A4">
        <w:tc>
          <w:tcPr>
            <w:tcW w:w="164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51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Quality of Life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Social Appearance Anxiety</w:t>
            </w:r>
          </w:p>
        </w:tc>
      </w:tr>
      <w:tr w:rsidR="005C0DA6" w:rsidRPr="00912CE0" w:rsidTr="00FB33A4">
        <w:tc>
          <w:tcPr>
            <w:tcW w:w="1640" w:type="pct"/>
            <w:vMerge w:val="restart"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Quality of Life</w:t>
            </w: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DA6" w:rsidRPr="00912CE0" w:rsidTr="00FB33A4">
        <w:trPr>
          <w:trHeight w:val="246"/>
        </w:trPr>
        <w:tc>
          <w:tcPr>
            <w:tcW w:w="1640" w:type="pct"/>
            <w:vMerge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p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DA6" w:rsidRPr="00912CE0" w:rsidTr="00FB33A4">
        <w:tc>
          <w:tcPr>
            <w:tcW w:w="1640" w:type="pct"/>
            <w:vMerge/>
            <w:vAlign w:val="center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C0DA6" w:rsidRPr="00912CE0" w:rsidTr="00FB33A4">
        <w:tc>
          <w:tcPr>
            <w:tcW w:w="1640" w:type="pct"/>
            <w:vMerge w:val="restart"/>
            <w:vAlign w:val="center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Social Appearance Anxiety</w:t>
            </w: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color w:val="010205"/>
                <w:sz w:val="24"/>
                <w:szCs w:val="24"/>
                <w:lang w:val="en-US"/>
              </w:rPr>
            </w:pPr>
            <w:r w:rsidRPr="00912CE0">
              <w:rPr>
                <w:color w:val="010205"/>
                <w:sz w:val="24"/>
                <w:szCs w:val="24"/>
                <w:lang w:val="en-US"/>
              </w:rPr>
              <w:t>-0.803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  <w:tr w:rsidR="005C0DA6" w:rsidRPr="00912CE0" w:rsidTr="00FB33A4">
        <w:tc>
          <w:tcPr>
            <w:tcW w:w="1640" w:type="pct"/>
            <w:vMerge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p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color w:val="010205"/>
                <w:sz w:val="24"/>
                <w:szCs w:val="24"/>
                <w:lang w:val="en-US"/>
              </w:rPr>
            </w:pPr>
            <w:r w:rsidRPr="00912CE0">
              <w:rPr>
                <w:color w:val="010205"/>
                <w:sz w:val="24"/>
                <w:szCs w:val="24"/>
                <w:lang w:val="en-US"/>
              </w:rPr>
              <w:t>0.000**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5C0DA6" w:rsidRPr="00912CE0" w:rsidTr="00FB33A4">
        <w:tc>
          <w:tcPr>
            <w:tcW w:w="1640" w:type="pct"/>
            <w:vMerge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70" w:type="pct"/>
          </w:tcPr>
          <w:p w:rsidR="005C0DA6" w:rsidRPr="00912CE0" w:rsidRDefault="005C0DA6" w:rsidP="00FB33A4">
            <w:pPr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1251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  <w:r w:rsidRPr="00912CE0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639" w:type="pct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5C0DA6" w:rsidRPr="005C0DA6" w:rsidRDefault="005C0DA6" w:rsidP="005C0DA6">
      <w:pPr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5C0DA6">
        <w:rPr>
          <w:i/>
          <w:sz w:val="18"/>
          <w:szCs w:val="18"/>
        </w:rPr>
        <w:t xml:space="preserve">**P&lt;0.01, </w:t>
      </w:r>
      <w:r w:rsidRPr="005C0DA6">
        <w:rPr>
          <w:i/>
          <w:kern w:val="16"/>
          <w:sz w:val="18"/>
          <w:szCs w:val="18"/>
        </w:rPr>
        <w:t xml:space="preserve">Note: </w:t>
      </w:r>
      <w:r w:rsidRPr="005C0DA6">
        <w:rPr>
          <w:i/>
          <w:sz w:val="18"/>
          <w:szCs w:val="18"/>
        </w:rPr>
        <w:t>n 80; (r=-0.803, p=0.000, P&lt;0.001)</w:t>
      </w:r>
    </w:p>
    <w:p w:rsidR="005C0DA6" w:rsidRPr="005C0DA6" w:rsidRDefault="005C0DA6" w:rsidP="005C0DA6"/>
    <w:p w:rsidR="005C0DA6" w:rsidRPr="00912CE0" w:rsidRDefault="005C0DA6" w:rsidP="005C0DA6">
      <w:pPr>
        <w:jc w:val="both"/>
        <w:rPr>
          <w:sz w:val="24"/>
          <w:szCs w:val="24"/>
          <w:lang w:val="en-US"/>
        </w:rPr>
      </w:pPr>
      <w:r w:rsidRPr="00912CE0">
        <w:rPr>
          <w:b/>
          <w:bCs/>
          <w:sz w:val="24"/>
          <w:szCs w:val="24"/>
          <w:lang w:val="en-US"/>
        </w:rPr>
        <w:t>Table 3.</w:t>
      </w:r>
      <w:r w:rsidRPr="00912CE0">
        <w:rPr>
          <w:sz w:val="24"/>
          <w:szCs w:val="24"/>
          <w:lang w:val="en-US"/>
        </w:rPr>
        <w:t xml:space="preserve"> Regression Analysis of Prediction of Social Appearance Anxiety</w:t>
      </w:r>
    </w:p>
    <w:p w:rsidR="005C0DA6" w:rsidRPr="005C0DA6" w:rsidRDefault="005C0DA6" w:rsidP="005C0DA6">
      <w:pPr>
        <w:jc w:val="both"/>
        <w:rPr>
          <w:lang w:val="en-US"/>
        </w:rPr>
      </w:pPr>
    </w:p>
    <w:tbl>
      <w:tblPr>
        <w:tblStyle w:val="TabloKlavuzu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1560"/>
        <w:gridCol w:w="1985"/>
        <w:gridCol w:w="1553"/>
      </w:tblGrid>
      <w:tr w:rsidR="005C0DA6" w:rsidRPr="00912CE0" w:rsidTr="00FB33A4">
        <w:tc>
          <w:tcPr>
            <w:tcW w:w="2187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61" w:type="pct"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i/>
                <w:iCs/>
                <w:sz w:val="24"/>
                <w:szCs w:val="24"/>
                <w:lang w:val="en-US"/>
              </w:rPr>
              <w:t>β</w:t>
            </w:r>
          </w:p>
        </w:tc>
        <w:tc>
          <w:tcPr>
            <w:tcW w:w="1095" w:type="pct"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t</w:t>
            </w:r>
          </w:p>
        </w:tc>
        <w:tc>
          <w:tcPr>
            <w:tcW w:w="857" w:type="pct"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912CE0">
              <w:rPr>
                <w:b/>
                <w:i/>
                <w:iCs/>
                <w:sz w:val="24"/>
                <w:szCs w:val="24"/>
                <w:lang w:val="en-US"/>
              </w:rPr>
              <w:t>p</w:t>
            </w:r>
          </w:p>
        </w:tc>
      </w:tr>
      <w:tr w:rsidR="005C0DA6" w:rsidRPr="00912CE0" w:rsidTr="00FB33A4">
        <w:trPr>
          <w:trHeight w:val="471"/>
        </w:trPr>
        <w:tc>
          <w:tcPr>
            <w:tcW w:w="2187" w:type="pct"/>
            <w:vAlign w:val="center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Quality of Life</w:t>
            </w:r>
          </w:p>
        </w:tc>
        <w:tc>
          <w:tcPr>
            <w:tcW w:w="861" w:type="pct"/>
            <w:vAlign w:val="center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color w:val="010205"/>
                <w:sz w:val="24"/>
                <w:szCs w:val="24"/>
                <w:lang w:val="en-US"/>
              </w:rPr>
            </w:pPr>
            <w:r w:rsidRPr="00912CE0">
              <w:rPr>
                <w:color w:val="010205"/>
                <w:sz w:val="24"/>
                <w:szCs w:val="24"/>
                <w:lang w:val="en-US"/>
              </w:rPr>
              <w:t>1.582</w:t>
            </w:r>
          </w:p>
        </w:tc>
        <w:tc>
          <w:tcPr>
            <w:tcW w:w="1095" w:type="pct"/>
            <w:vAlign w:val="center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color w:val="010205"/>
                <w:sz w:val="24"/>
                <w:szCs w:val="24"/>
                <w:lang w:val="en-US"/>
              </w:rPr>
            </w:pPr>
            <w:r w:rsidRPr="00912CE0">
              <w:rPr>
                <w:color w:val="010205"/>
                <w:sz w:val="24"/>
                <w:szCs w:val="24"/>
                <w:lang w:val="en-US"/>
              </w:rPr>
              <w:t>11.883</w:t>
            </w:r>
          </w:p>
        </w:tc>
        <w:tc>
          <w:tcPr>
            <w:tcW w:w="857" w:type="pct"/>
            <w:vAlign w:val="center"/>
          </w:tcPr>
          <w:p w:rsidR="005C0DA6" w:rsidRPr="00912CE0" w:rsidRDefault="005C0DA6" w:rsidP="00FB33A4">
            <w:pPr>
              <w:autoSpaceDE w:val="0"/>
              <w:autoSpaceDN w:val="0"/>
              <w:adjustRightInd w:val="0"/>
              <w:ind w:left="60" w:right="60"/>
              <w:jc w:val="center"/>
              <w:rPr>
                <w:color w:val="010205"/>
                <w:sz w:val="24"/>
                <w:szCs w:val="24"/>
                <w:lang w:val="en-US"/>
              </w:rPr>
            </w:pPr>
            <w:r w:rsidRPr="00912CE0">
              <w:rPr>
                <w:color w:val="010205"/>
                <w:sz w:val="24"/>
                <w:szCs w:val="24"/>
                <w:lang w:val="en-US"/>
              </w:rPr>
              <w:t>0.000**</w:t>
            </w:r>
          </w:p>
        </w:tc>
      </w:tr>
      <w:tr w:rsidR="005C0DA6" w:rsidRPr="00912CE0" w:rsidTr="00FB33A4">
        <w:tc>
          <w:tcPr>
            <w:tcW w:w="2187" w:type="pct"/>
          </w:tcPr>
          <w:p w:rsidR="005C0DA6" w:rsidRPr="00912CE0" w:rsidRDefault="005C0DA6" w:rsidP="00FB33A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861" w:type="pct"/>
          </w:tcPr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 xml:space="preserve">R= -0.803 </w:t>
            </w:r>
          </w:p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R</w:t>
            </w:r>
            <w:r w:rsidRPr="00912CE0">
              <w:rPr>
                <w:b/>
                <w:sz w:val="24"/>
                <w:szCs w:val="24"/>
                <w:vertAlign w:val="superscript"/>
                <w:lang w:val="en-US"/>
              </w:rPr>
              <w:t>2</w:t>
            </w:r>
            <w:r w:rsidRPr="00912CE0">
              <w:rPr>
                <w:b/>
                <w:sz w:val="24"/>
                <w:szCs w:val="24"/>
                <w:lang w:val="en-US"/>
              </w:rPr>
              <w:t xml:space="preserve">= 0.644  </w:t>
            </w:r>
          </w:p>
        </w:tc>
        <w:tc>
          <w:tcPr>
            <w:tcW w:w="1095" w:type="pct"/>
          </w:tcPr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F (1.78) = 141.195</w:t>
            </w:r>
          </w:p>
          <w:p w:rsidR="005C0DA6" w:rsidRPr="00912CE0" w:rsidRDefault="005C0DA6" w:rsidP="00FB33A4">
            <w:pPr>
              <w:rPr>
                <w:b/>
                <w:sz w:val="24"/>
                <w:szCs w:val="24"/>
                <w:lang w:val="en-US"/>
              </w:rPr>
            </w:pPr>
            <w:r w:rsidRPr="00912CE0">
              <w:rPr>
                <w:b/>
                <w:sz w:val="24"/>
                <w:szCs w:val="24"/>
                <w:lang w:val="en-US"/>
              </w:rPr>
              <w:t>p=  0.000</w:t>
            </w:r>
          </w:p>
        </w:tc>
        <w:tc>
          <w:tcPr>
            <w:tcW w:w="857" w:type="pct"/>
          </w:tcPr>
          <w:p w:rsidR="005C0DA6" w:rsidRPr="00912CE0" w:rsidRDefault="005C0DA6" w:rsidP="00FB33A4">
            <w:pPr>
              <w:rPr>
                <w:color w:val="FF0000"/>
                <w:sz w:val="24"/>
                <w:szCs w:val="24"/>
                <w:lang w:val="en-US"/>
              </w:rPr>
            </w:pPr>
          </w:p>
        </w:tc>
      </w:tr>
    </w:tbl>
    <w:p w:rsidR="005C0DA6" w:rsidRPr="005C0DA6" w:rsidRDefault="005C0DA6" w:rsidP="005C0DA6">
      <w:pPr>
        <w:autoSpaceDE w:val="0"/>
        <w:autoSpaceDN w:val="0"/>
        <w:adjustRightInd w:val="0"/>
        <w:spacing w:before="120"/>
        <w:rPr>
          <w:i/>
          <w:sz w:val="18"/>
          <w:szCs w:val="18"/>
        </w:rPr>
      </w:pPr>
      <w:r w:rsidRPr="005C0DA6">
        <w:rPr>
          <w:i/>
          <w:sz w:val="18"/>
          <w:szCs w:val="18"/>
        </w:rPr>
        <w:t xml:space="preserve">**P&lt;0.01, </w:t>
      </w:r>
      <w:r w:rsidRPr="005C0DA6">
        <w:rPr>
          <w:i/>
          <w:kern w:val="16"/>
          <w:sz w:val="18"/>
          <w:szCs w:val="18"/>
        </w:rPr>
        <w:t xml:space="preserve">Note: </w:t>
      </w:r>
      <w:r w:rsidRPr="005C0DA6">
        <w:rPr>
          <w:i/>
          <w:sz w:val="18"/>
          <w:szCs w:val="18"/>
        </w:rPr>
        <w:t>n 80; (r</w:t>
      </w:r>
      <w:r w:rsidRPr="005C0DA6">
        <w:rPr>
          <w:i/>
          <w:sz w:val="18"/>
          <w:szCs w:val="18"/>
          <w:vertAlign w:val="superscript"/>
        </w:rPr>
        <w:t>2</w:t>
      </w:r>
      <w:r w:rsidRPr="005C0DA6">
        <w:rPr>
          <w:i/>
          <w:sz w:val="18"/>
          <w:szCs w:val="18"/>
        </w:rPr>
        <w:t xml:space="preserve">=0.644, </w:t>
      </w:r>
      <w:r w:rsidRPr="005C0DA6">
        <w:rPr>
          <w:i/>
          <w:sz w:val="18"/>
          <w:szCs w:val="18"/>
          <w:lang w:val="en-US"/>
        </w:rPr>
        <w:t>F</w:t>
      </w:r>
      <w:r w:rsidRPr="005C0DA6">
        <w:rPr>
          <w:i/>
          <w:sz w:val="18"/>
          <w:szCs w:val="18"/>
          <w:vertAlign w:val="subscript"/>
          <w:lang w:val="en-US"/>
        </w:rPr>
        <w:t>(1.78)</w:t>
      </w:r>
      <w:r w:rsidRPr="005C0DA6">
        <w:rPr>
          <w:i/>
          <w:sz w:val="18"/>
          <w:szCs w:val="18"/>
          <w:lang w:val="en-US"/>
        </w:rPr>
        <w:t xml:space="preserve">= 141.195, </w:t>
      </w:r>
      <w:r w:rsidRPr="005C0DA6">
        <w:rPr>
          <w:i/>
          <w:sz w:val="18"/>
          <w:szCs w:val="18"/>
        </w:rPr>
        <w:t xml:space="preserve"> P=0.000, P&lt;0.001)</w:t>
      </w:r>
    </w:p>
    <w:p w:rsidR="00342E1C" w:rsidRPr="005C0DA6" w:rsidRDefault="00912CE0" w:rsidP="005C0DA6">
      <w:bookmarkStart w:id="0" w:name="_GoBack"/>
      <w:bookmarkEnd w:id="0"/>
    </w:p>
    <w:sectPr w:rsidR="00342E1C" w:rsidRPr="005C0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3B"/>
    <w:rsid w:val="00453A1B"/>
    <w:rsid w:val="00490F3B"/>
    <w:rsid w:val="005332A9"/>
    <w:rsid w:val="005C0DA6"/>
    <w:rsid w:val="00912CE0"/>
    <w:rsid w:val="00A8504E"/>
    <w:rsid w:val="00CA4CE5"/>
    <w:rsid w:val="00D1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983F3-F9CE-481D-9675-AD27D886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90F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apekel</dc:creator>
  <cp:keywords/>
  <dc:description/>
  <cp:lastModifiedBy>apekel</cp:lastModifiedBy>
  <cp:revision>3</cp:revision>
  <dcterms:created xsi:type="dcterms:W3CDTF">2019-12-16T19:16:00Z</dcterms:created>
  <dcterms:modified xsi:type="dcterms:W3CDTF">2020-01-11T21:38:00Z</dcterms:modified>
</cp:coreProperties>
</file>